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2" w:after="2"/>
        <w:rPr>
          <w:rFonts w:ascii="Baskerville"/>
          <w:sz w:val="24"/>
          <w:szCs w:val="24"/>
        </w:rPr>
      </w:pPr>
      <w:r>
        <w:rPr>
          <w:rFonts w:ascii="Baskerville"/>
          <w:sz w:val="24"/>
          <w:szCs w:val="24"/>
          <w:rtl w:val="0"/>
        </w:rPr>
        <w:drawing>
          <wp:inline distT="0" distB="0" distL="0" distR="0">
            <wp:extent cx="1739265" cy="528469"/>
            <wp:effectExtent l="0" t="0" r="0" b="0"/>
            <wp:docPr id="1073741825" name="officeArt object" descr="Billingslifelogo.png"/>
            <wp:cNvGraphicFramePr/>
            <a:graphic xmlns:a="http://schemas.openxmlformats.org/drawingml/2006/main">
              <a:graphicData uri="http://schemas.openxmlformats.org/drawingml/2006/picture">
                <pic:pic xmlns:pic="http://schemas.openxmlformats.org/drawingml/2006/picture">
                  <pic:nvPicPr>
                    <pic:cNvPr id="1073741825" name="image1.png" descr="Billingslifelogo.png"/>
                    <pic:cNvPicPr/>
                  </pic:nvPicPr>
                  <pic:blipFill>
                    <a:blip r:embed="rId4">
                      <a:extLst/>
                    </a:blip>
                    <a:stretch>
                      <a:fillRect/>
                    </a:stretch>
                  </pic:blipFill>
                  <pic:spPr>
                    <a:xfrm>
                      <a:off x="0" y="0"/>
                      <a:ext cx="1739265" cy="528469"/>
                    </a:xfrm>
                    <a:prstGeom prst="rect">
                      <a:avLst/>
                    </a:prstGeom>
                    <a:ln w="12700" cap="flat">
                      <a:noFill/>
                      <a:miter lim="400000"/>
                    </a:ln>
                    <a:effectLst/>
                  </pic:spPr>
                </pic:pic>
              </a:graphicData>
            </a:graphic>
          </wp:inline>
        </w:drawing>
      </w:r>
    </w:p>
    <w:p>
      <w:pPr>
        <w:pStyle w:val="Normal (Web)"/>
        <w:spacing w:before="2" w:after="2"/>
        <w:ind w:right="567"/>
        <w:jc w:val="right"/>
        <w:rPr>
          <w:rFonts w:ascii="Arial" w:cs="Arial" w:hAnsi="Arial" w:eastAsia="Arial"/>
          <w:sz w:val="22"/>
          <w:szCs w:val="22"/>
        </w:rPr>
      </w:pPr>
      <w:r>
        <w:rPr>
          <w:rFonts w:ascii="Arial"/>
          <w:sz w:val="22"/>
          <w:szCs w:val="22"/>
          <w:rtl w:val="0"/>
          <w:lang w:val="en-US"/>
        </w:rPr>
        <w:t>(Insert Date)</w:t>
      </w:r>
    </w:p>
    <w:p>
      <w:pPr>
        <w:pStyle w:val="Normal (Web)"/>
        <w:spacing w:before="2" w:after="2"/>
        <w:ind w:right="567"/>
        <w:rPr>
          <w:rFonts w:ascii="Arial" w:cs="Arial" w:hAnsi="Arial" w:eastAsia="Arial"/>
          <w:sz w:val="22"/>
          <w:szCs w:val="22"/>
        </w:rPr>
      </w:pPr>
      <w:r>
        <w:rPr>
          <w:rFonts w:ascii="Arial"/>
          <w:sz w:val="22"/>
          <w:szCs w:val="22"/>
          <w:rtl w:val="0"/>
          <w:lang w:val="en-US"/>
        </w:rPr>
        <w:t>Dear (Insert Counsel name)</w:t>
      </w:r>
      <w:r>
        <w:rPr>
          <w:rFonts w:ascii="Arial"/>
          <w:sz w:val="22"/>
          <w:szCs w:val="22"/>
          <w:rtl w:val="0"/>
          <w:lang w:val="en-US"/>
        </w:rPr>
        <w:t>,</w:t>
      </w:r>
    </w:p>
    <w:p>
      <w:pPr>
        <w:pStyle w:val="Normal (Web)"/>
        <w:spacing w:before="2" w:after="2"/>
        <w:rPr>
          <w:rFonts w:ascii="Arial" w:cs="Arial" w:hAnsi="Arial" w:eastAsia="Arial"/>
          <w:sz w:val="22"/>
          <w:szCs w:val="22"/>
        </w:rPr>
      </w:pPr>
    </w:p>
    <w:p>
      <w:pPr>
        <w:pStyle w:val="Normal (Web)"/>
        <w:spacing w:before="2" w:after="2"/>
        <w:ind w:left="720" w:right="988" w:firstLine="0"/>
        <w:rPr>
          <w:rFonts w:ascii="Arial" w:cs="Arial" w:hAnsi="Arial" w:eastAsia="Arial"/>
          <w:b w:val="1"/>
          <w:bCs w:val="1"/>
          <w:sz w:val="22"/>
          <w:szCs w:val="22"/>
        </w:rPr>
      </w:pPr>
      <w:r>
        <w:rPr>
          <w:rFonts w:hAnsi="Arial" w:hint="default"/>
          <w:sz w:val="22"/>
          <w:szCs w:val="22"/>
          <w:rtl w:val="0"/>
          <w:lang w:val="en-US"/>
        </w:rPr>
        <w:t>“</w:t>
      </w:r>
      <w:r>
        <w:rPr>
          <w:rFonts w:ascii="Arial"/>
          <w:sz w:val="22"/>
          <w:szCs w:val="22"/>
          <w:rtl w:val="0"/>
          <w:lang w:val="en-US"/>
        </w:rPr>
        <w:t>Billings has given me knowledge about my body that I never would</w:t>
      </w:r>
      <w:r>
        <w:rPr>
          <w:rFonts w:hAnsi="Arial" w:hint="default"/>
          <w:sz w:val="22"/>
          <w:szCs w:val="22"/>
          <w:rtl w:val="0"/>
          <w:lang w:val="en-US"/>
        </w:rPr>
        <w:t>’</w:t>
      </w:r>
      <w:r>
        <w:rPr>
          <w:rFonts w:ascii="Arial"/>
          <w:sz w:val="22"/>
          <w:szCs w:val="22"/>
          <w:rtl w:val="0"/>
          <w:lang w:val="en-US"/>
        </w:rPr>
        <w:t>ve had otherwise. It allowed me to pinpoint ovulation and I was blessed to conceive very quickly. Billings helps me proceed with confidence in any situation including the post-partum and breastfeeding stage when charting gets more unpredictable. My Billings teacher has been indispensable and is always willing to answer my questions! Billings truly has been a blessing for my husband and I for the past few years.</w:t>
      </w:r>
      <w:r>
        <w:rPr>
          <w:rFonts w:hAnsi="Arial" w:hint="default"/>
          <w:sz w:val="22"/>
          <w:szCs w:val="22"/>
          <w:rtl w:val="0"/>
          <w:lang w:val="en-US"/>
        </w:rPr>
        <w:t xml:space="preserve">” – </w:t>
      </w:r>
      <w:r>
        <w:rPr>
          <w:rFonts w:ascii="Arial"/>
          <w:b w:val="1"/>
          <w:bCs w:val="1"/>
          <w:sz w:val="22"/>
          <w:szCs w:val="22"/>
          <w:rtl w:val="0"/>
          <w:lang w:val="en-US"/>
        </w:rPr>
        <w:t>Anastasia, 25, Edmonton</w:t>
      </w:r>
    </w:p>
    <w:p>
      <w:pPr>
        <w:pStyle w:val="Normal (Web)"/>
        <w:spacing w:before="2" w:after="2"/>
        <w:ind w:left="720" w:right="988" w:firstLine="0"/>
        <w:rPr>
          <w:rFonts w:ascii="Arial" w:cs="Arial" w:hAnsi="Arial" w:eastAsia="Arial"/>
          <w:sz w:val="22"/>
          <w:szCs w:val="22"/>
        </w:rPr>
      </w:pPr>
    </w:p>
    <w:p>
      <w:pPr>
        <w:pStyle w:val="Body"/>
        <w:outlineLvl w:val="0"/>
        <w:rPr>
          <w:rFonts w:ascii="Arial" w:cs="Arial" w:hAnsi="Arial" w:eastAsia="Arial"/>
          <w:sz w:val="22"/>
          <w:szCs w:val="22"/>
        </w:rPr>
      </w:pPr>
      <w:r>
        <w:rPr>
          <w:rFonts w:ascii="Arial"/>
          <w:sz w:val="22"/>
          <w:szCs w:val="22"/>
          <w:rtl w:val="0"/>
          <w:lang w:val="en-US"/>
        </w:rPr>
        <w:t>That</w:t>
      </w:r>
      <w:r>
        <w:rPr>
          <w:rFonts w:hAnsi="Arial" w:hint="default"/>
          <w:sz w:val="22"/>
          <w:szCs w:val="22"/>
          <w:rtl w:val="0"/>
          <w:lang w:val="en-US"/>
        </w:rPr>
        <w:t>’</w:t>
      </w:r>
      <w:r>
        <w:rPr>
          <w:rFonts w:ascii="Arial"/>
          <w:sz w:val="22"/>
          <w:szCs w:val="22"/>
          <w:rtl w:val="0"/>
          <w:lang w:val="en-US"/>
        </w:rPr>
        <w:t>s just one testimonial we</w:t>
      </w:r>
      <w:r>
        <w:rPr>
          <w:rFonts w:hAnsi="Arial" w:hint="default"/>
          <w:sz w:val="22"/>
          <w:szCs w:val="22"/>
          <w:rtl w:val="0"/>
          <w:lang w:val="en-US"/>
        </w:rPr>
        <w:t>’</w:t>
      </w:r>
      <w:r>
        <w:rPr>
          <w:rFonts w:ascii="Arial"/>
          <w:sz w:val="22"/>
          <w:szCs w:val="22"/>
          <w:rtl w:val="0"/>
          <w:lang w:val="en-US"/>
        </w:rPr>
        <w:t>ve received in over 3</w:t>
      </w:r>
      <w:r>
        <w:rPr>
          <w:rFonts w:ascii="Arial"/>
          <w:sz w:val="22"/>
          <w:szCs w:val="22"/>
          <w:rtl w:val="0"/>
          <w:lang w:val="en-US"/>
        </w:rPr>
        <w:t>3</w:t>
      </w:r>
      <w:r>
        <w:rPr>
          <w:rFonts w:ascii="Arial"/>
          <w:sz w:val="22"/>
          <w:szCs w:val="22"/>
          <w:rtl w:val="0"/>
          <w:lang w:val="en-US"/>
        </w:rPr>
        <w:t xml:space="preserve"> years of teaching fertility awareness to Albertans.</w:t>
      </w:r>
    </w:p>
    <w:p>
      <w:pPr>
        <w:pStyle w:val="Body"/>
        <w:rPr>
          <w:rFonts w:ascii="Arial" w:cs="Arial" w:hAnsi="Arial" w:eastAsia="Arial"/>
          <w:sz w:val="22"/>
          <w:szCs w:val="22"/>
        </w:rPr>
      </w:pPr>
    </w:p>
    <w:p>
      <w:pPr>
        <w:pStyle w:val="Normal (Web)"/>
        <w:spacing w:before="2" w:after="2"/>
        <w:outlineLvl w:val="0"/>
        <w:rPr>
          <w:rFonts w:ascii="Arial" w:cs="Arial" w:hAnsi="Arial" w:eastAsia="Arial"/>
          <w:b w:val="1"/>
          <w:bCs w:val="1"/>
          <w:sz w:val="22"/>
          <w:szCs w:val="22"/>
        </w:rPr>
      </w:pPr>
      <w:r>
        <w:rPr>
          <w:rFonts w:ascii="Arial"/>
          <w:b w:val="1"/>
          <w:bCs w:val="1"/>
          <w:sz w:val="22"/>
          <w:szCs w:val="22"/>
          <w:rtl w:val="0"/>
          <w:lang w:val="en-US"/>
        </w:rPr>
        <w:t>You</w:t>
      </w:r>
      <w:r>
        <w:rPr>
          <w:rFonts w:hAnsi="Arial" w:hint="default"/>
          <w:b w:val="1"/>
          <w:bCs w:val="1"/>
          <w:sz w:val="22"/>
          <w:szCs w:val="22"/>
          <w:rtl w:val="0"/>
          <w:lang w:val="en-US"/>
        </w:rPr>
        <w:t>’</w:t>
      </w:r>
      <w:r>
        <w:rPr>
          <w:rFonts w:ascii="Arial"/>
          <w:b w:val="1"/>
          <w:bCs w:val="1"/>
          <w:sz w:val="22"/>
          <w:szCs w:val="22"/>
          <w:rtl w:val="0"/>
          <w:lang w:val="en-US"/>
        </w:rPr>
        <w:t xml:space="preserve">ve been generous to us in the past. </w:t>
      </w:r>
    </w:p>
    <w:p>
      <w:pPr>
        <w:pStyle w:val="Normal (Web)"/>
        <w:spacing w:before="2" w:after="2"/>
        <w:rPr>
          <w:rFonts w:ascii="Arial" w:cs="Arial" w:hAnsi="Arial" w:eastAsia="Arial"/>
          <w:sz w:val="22"/>
          <w:szCs w:val="22"/>
        </w:rPr>
      </w:pPr>
      <w:r>
        <w:rPr>
          <w:rFonts w:ascii="Arial"/>
          <w:sz w:val="22"/>
          <w:szCs w:val="22"/>
          <w:rtl w:val="0"/>
          <w:lang w:val="en-US"/>
        </w:rPr>
        <w:t>You know that the Billings Ovulation Method</w:t>
      </w:r>
      <w:r>
        <w:rPr>
          <w:rFonts w:hAnsi="Arial" w:hint="default"/>
          <w:sz w:val="22"/>
          <w:szCs w:val="22"/>
          <w:rtl w:val="0"/>
          <w:lang w:val="en-US"/>
        </w:rPr>
        <w:t xml:space="preserve">® </w:t>
      </w:r>
      <w:r>
        <w:rPr>
          <w:rFonts w:ascii="Arial"/>
          <w:sz w:val="22"/>
          <w:szCs w:val="22"/>
          <w:rtl w:val="0"/>
          <w:lang w:val="en-US"/>
        </w:rPr>
        <w:t>is a modern, scientifically-researched system of fertility awareness. It lets women recognize their unique fertility patterns with high accuracy so they can identify underlying health issues and achieve (or postpone) pregnancy. We</w:t>
      </w:r>
      <w:r>
        <w:rPr>
          <w:rFonts w:hAnsi="Arial" w:hint="default"/>
          <w:sz w:val="22"/>
          <w:szCs w:val="22"/>
          <w:rtl w:val="0"/>
          <w:lang w:val="en-US"/>
        </w:rPr>
        <w:t>’</w:t>
      </w:r>
      <w:r>
        <w:rPr>
          <w:rFonts w:ascii="Arial"/>
          <w:sz w:val="22"/>
          <w:szCs w:val="22"/>
          <w:rtl w:val="0"/>
          <w:lang w:val="en-US"/>
        </w:rPr>
        <w:t>ve helped women in your diocese remain true to their vocation in observing Church teaching faithfully. The development of the method by founders Drs. John and Evelyn Billings turned out to be consistent with Pope Paul VI</w:t>
      </w:r>
      <w:r>
        <w:rPr>
          <w:rFonts w:hAnsi="Arial" w:hint="default"/>
          <w:sz w:val="22"/>
          <w:szCs w:val="22"/>
          <w:rtl w:val="0"/>
          <w:lang w:val="en-US"/>
        </w:rPr>
        <w:t>’</w:t>
      </w:r>
      <w:r>
        <w:rPr>
          <w:rFonts w:ascii="Arial"/>
          <w:sz w:val="22"/>
          <w:szCs w:val="22"/>
          <w:rtl w:val="0"/>
          <w:lang w:val="en-US"/>
        </w:rPr>
        <w:t>s landmark 1968 encyclical on sexuality, Humanae Vitae. Documentation is currently being collected to begin their beatification process.</w:t>
      </w:r>
    </w:p>
    <w:p>
      <w:pPr>
        <w:pStyle w:val="Body"/>
        <w:rPr>
          <w:rFonts w:ascii="Arial" w:cs="Arial" w:hAnsi="Arial" w:eastAsia="Arial"/>
          <w:sz w:val="22"/>
          <w:szCs w:val="22"/>
        </w:rPr>
      </w:pPr>
    </w:p>
    <w:p>
      <w:pPr>
        <w:pStyle w:val="Body"/>
        <w:outlineLvl w:val="0"/>
        <w:rPr>
          <w:rFonts w:ascii="Arial" w:cs="Arial" w:hAnsi="Arial" w:eastAsia="Arial"/>
          <w:b w:val="1"/>
          <w:bCs w:val="1"/>
          <w:sz w:val="22"/>
          <w:szCs w:val="22"/>
        </w:rPr>
      </w:pPr>
      <w:r>
        <w:rPr>
          <w:rFonts w:ascii="Arial"/>
          <w:b w:val="1"/>
          <w:bCs w:val="1"/>
          <w:sz w:val="22"/>
          <w:szCs w:val="22"/>
          <w:rtl w:val="0"/>
          <w:lang w:val="en-US"/>
        </w:rPr>
        <w:t>You can continue to help us help women.</w:t>
      </w:r>
    </w:p>
    <w:p>
      <w:pPr>
        <w:pStyle w:val="Body"/>
        <w:rPr>
          <w:rFonts w:ascii="Arial" w:cs="Arial" w:hAnsi="Arial" w:eastAsia="Arial"/>
          <w:sz w:val="22"/>
          <w:szCs w:val="22"/>
        </w:rPr>
      </w:pPr>
      <w:r>
        <w:rPr>
          <w:rFonts w:ascii="Arial"/>
          <w:sz w:val="22"/>
          <w:szCs w:val="22"/>
          <w:rtl w:val="0"/>
          <w:lang w:val="en-US"/>
        </w:rPr>
        <w:t xml:space="preserve">In 2019, </w:t>
      </w:r>
      <w:r>
        <w:rPr>
          <w:rFonts w:ascii="Arial"/>
          <w:sz w:val="22"/>
          <w:szCs w:val="22"/>
          <w:rtl w:val="0"/>
          <w:lang w:val="en-US"/>
        </w:rPr>
        <w:t>we delivered over 3,000 hours of volunteer teaching throughout Alberta. Public awareness of hormonal contraception</w:t>
      </w:r>
      <w:r>
        <w:rPr>
          <w:rFonts w:hAnsi="Arial" w:hint="default"/>
          <w:sz w:val="22"/>
          <w:szCs w:val="22"/>
          <w:rtl w:val="0"/>
          <w:lang w:val="en-US"/>
        </w:rPr>
        <w:t>’</w:t>
      </w:r>
      <w:r>
        <w:rPr>
          <w:rFonts w:ascii="Arial"/>
          <w:sz w:val="22"/>
          <w:szCs w:val="22"/>
          <w:rtl w:val="0"/>
          <w:lang w:val="en-US"/>
        </w:rPr>
        <w:t>s harmful effects on women</w:t>
      </w:r>
      <w:r>
        <w:rPr>
          <w:rFonts w:hAnsi="Arial" w:hint="default"/>
          <w:sz w:val="22"/>
          <w:szCs w:val="22"/>
          <w:rtl w:val="0"/>
          <w:lang w:val="en-US"/>
        </w:rPr>
        <w:t>’</w:t>
      </w:r>
      <w:r>
        <w:rPr>
          <w:rFonts w:ascii="Arial"/>
          <w:sz w:val="22"/>
          <w:szCs w:val="22"/>
          <w:rtl w:val="0"/>
          <w:lang w:val="en-US"/>
        </w:rPr>
        <w:t xml:space="preserve">s physical, emotional, and spiritual health is growing. We foresee greater demand for our teaching services in years to come. </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sz w:val="22"/>
          <w:szCs w:val="22"/>
          <w:rtl w:val="0"/>
          <w:lang w:val="en-US"/>
        </w:rPr>
        <w:t>Our association is in need of new promotional products to bring awareness of the Billings Ovulation Method to health fairs, conferences, and parishes with our next big event coming up at this year</w:t>
      </w:r>
      <w:r>
        <w:rPr>
          <w:rFonts w:hAnsi="Arial" w:hint="default"/>
          <w:sz w:val="22"/>
          <w:szCs w:val="22"/>
          <w:rtl w:val="0"/>
          <w:lang w:val="en-US"/>
        </w:rPr>
        <w:t>’</w:t>
      </w:r>
      <w:r>
        <w:rPr>
          <w:rFonts w:ascii="Arial"/>
          <w:sz w:val="22"/>
          <w:szCs w:val="22"/>
          <w:rtl w:val="0"/>
          <w:lang w:val="en-US"/>
        </w:rPr>
        <w:t xml:space="preserve">s Family Life Conference. Two banners and a table runner have been designed to promote our organization in a tasteful and professional manner. The cost of one set of these products is $400.00. Our goal is to provide as many Billings instructors as possible with a set of these products to display in their community and parishes. We appreciate any financial support that you are able to offer us at this time. </w:t>
      </w:r>
    </w:p>
    <w:p>
      <w:pPr>
        <w:pStyle w:val="Normal (Web)"/>
        <w:spacing w:before="2" w:after="2"/>
        <w:rPr>
          <w:rFonts w:ascii="Arial" w:cs="Arial" w:hAnsi="Arial" w:eastAsia="Arial"/>
          <w:sz w:val="22"/>
          <w:szCs w:val="22"/>
        </w:rPr>
      </w:pPr>
    </w:p>
    <w:p>
      <w:pPr>
        <w:pStyle w:val="Normal (Web)"/>
        <w:spacing w:before="2" w:after="2"/>
        <w:rPr>
          <w:rFonts w:ascii="Arial" w:cs="Arial" w:hAnsi="Arial" w:eastAsia="Arial"/>
          <w:sz w:val="22"/>
          <w:szCs w:val="22"/>
        </w:rPr>
      </w:pPr>
      <w:r>
        <w:rPr>
          <w:rFonts w:ascii="Arial"/>
          <w:sz w:val="22"/>
          <w:szCs w:val="22"/>
          <w:rtl w:val="0"/>
          <w:lang w:val="en-US"/>
        </w:rPr>
        <w:t>We</w:t>
      </w:r>
      <w:r>
        <w:rPr>
          <w:rFonts w:hAnsi="Arial" w:hint="default"/>
          <w:sz w:val="22"/>
          <w:szCs w:val="22"/>
          <w:rtl w:val="0"/>
          <w:lang w:val="en-US"/>
        </w:rPr>
        <w:t>’</w:t>
      </w:r>
      <w:r>
        <w:rPr>
          <w:rFonts w:ascii="Arial"/>
          <w:sz w:val="22"/>
          <w:szCs w:val="22"/>
          <w:rtl w:val="0"/>
          <w:lang w:val="en-US"/>
        </w:rPr>
        <w:t xml:space="preserve">re a registered charity* and we issue official tax receipts. You can donate by postal mail to the address below or online at </w:t>
      </w:r>
      <w:hyperlink r:id="rId5" w:history="1">
        <w:r>
          <w:rPr>
            <w:rStyle w:val="Hyperlink.0"/>
            <w:rFonts w:ascii="Arial"/>
            <w:sz w:val="22"/>
            <w:szCs w:val="22"/>
            <w:rtl w:val="0"/>
            <w:lang w:val="en-US"/>
          </w:rPr>
          <w:t>https://billingslife.ca/get-involved/donate</w:t>
        </w:r>
      </w:hyperlink>
      <w:r>
        <w:rPr>
          <w:rFonts w:ascii="Arial"/>
          <w:sz w:val="22"/>
          <w:szCs w:val="22"/>
          <w:rtl w:val="0"/>
          <w:lang w:val="en-US"/>
        </w:rPr>
        <w:t>. You can also help us by sharing your email address. We promise not to resell or share this information outside of our organization.</w:t>
      </w:r>
    </w:p>
    <w:p>
      <w:pPr>
        <w:pStyle w:val="Body"/>
        <w:rPr>
          <w:rFonts w:ascii="Arial" w:cs="Arial" w:hAnsi="Arial" w:eastAsia="Arial"/>
          <w:sz w:val="22"/>
          <w:szCs w:val="22"/>
        </w:rPr>
      </w:pPr>
      <w:r>
        <w:rPr>
          <w:rFonts w:ascii="Arial"/>
          <w:sz w:val="22"/>
          <w:szCs w:val="22"/>
          <w:rtl w:val="0"/>
        </w:rPr>
        <w:t xml:space="preserve"> </w:t>
      </w:r>
    </w:p>
    <w:p>
      <w:pPr>
        <w:pStyle w:val="Body"/>
        <w:outlineLvl w:val="0"/>
        <w:rPr>
          <w:rFonts w:ascii="Arial" w:cs="Arial" w:hAnsi="Arial" w:eastAsia="Arial"/>
          <w:sz w:val="22"/>
          <w:szCs w:val="22"/>
        </w:rPr>
      </w:pPr>
      <w:r>
        <w:rPr>
          <w:rFonts w:ascii="Arial"/>
          <w:sz w:val="22"/>
          <w:szCs w:val="22"/>
          <w:rtl w:val="0"/>
          <w:lang w:val="en-US"/>
        </w:rPr>
        <w:t>Thank you for your generosity!</w:t>
      </w:r>
    </w:p>
    <w:p>
      <w:pPr>
        <w:pStyle w:val="Body"/>
        <w:rPr>
          <w:rFonts w:ascii="Arial" w:cs="Arial" w:hAnsi="Arial" w:eastAsia="Arial"/>
          <w:sz w:val="22"/>
          <w:szCs w:val="22"/>
        </w:rPr>
      </w:pPr>
    </w:p>
    <w:p>
      <w:pPr>
        <w:pStyle w:val="Body"/>
        <w:rPr>
          <w:rFonts w:ascii="Arial" w:cs="Arial" w:hAnsi="Arial" w:eastAsia="Arial"/>
          <w:sz w:val="22"/>
          <w:szCs w:val="22"/>
        </w:rPr>
      </w:pPr>
      <w:r>
        <w:rPr>
          <w:rFonts w:ascii="Arial"/>
          <w:sz w:val="22"/>
          <w:szCs w:val="22"/>
          <w:rtl w:val="0"/>
          <w:lang w:val="en-US"/>
        </w:rPr>
        <w:t>Sincerely,</w:t>
      </w:r>
    </w:p>
    <w:p>
      <w:pPr>
        <w:pStyle w:val="Body"/>
        <w:rPr>
          <w:rFonts w:ascii="Arial" w:cs="Arial" w:hAnsi="Arial" w:eastAsia="Arial"/>
          <w:sz w:val="22"/>
          <w:szCs w:val="22"/>
        </w:rPr>
      </w:pPr>
      <w:r>
        <w:rPr>
          <w:rFonts w:ascii="Arial"/>
          <w:sz w:val="22"/>
          <w:szCs w:val="22"/>
          <w:rtl w:val="0"/>
        </w:rPr>
        <w:t xml:space="preserve"> </w:t>
      </w:r>
    </w:p>
    <w:p>
      <w:pPr>
        <w:pStyle w:val="Body"/>
        <w:rPr>
          <w:rFonts w:ascii="Arial" w:cs="Arial" w:hAnsi="Arial" w:eastAsia="Arial"/>
          <w:sz w:val="22"/>
          <w:szCs w:val="22"/>
        </w:rPr>
      </w:pPr>
      <w:r>
        <w:rPr>
          <w:rFonts w:ascii="Arial"/>
          <w:sz w:val="22"/>
          <w:szCs w:val="22"/>
          <w:rtl w:val="0"/>
        </w:rPr>
        <w:t>( name)</w:t>
      </w:r>
    </w:p>
    <w:p>
      <w:pPr>
        <w:pStyle w:val="Body"/>
        <w:rPr>
          <w:rFonts w:ascii="Arial" w:cs="Arial" w:hAnsi="Arial" w:eastAsia="Arial"/>
          <w:sz w:val="22"/>
          <w:szCs w:val="22"/>
        </w:rPr>
      </w:pPr>
    </w:p>
    <w:p>
      <w:pPr>
        <w:pStyle w:val="Body"/>
        <w:rPr>
          <w:rFonts w:ascii="Arial" w:cs="Arial" w:hAnsi="Arial" w:eastAsia="Arial"/>
          <w:i w:val="1"/>
          <w:iCs w:val="1"/>
          <w:sz w:val="22"/>
          <w:szCs w:val="22"/>
        </w:rPr>
      </w:pPr>
      <w:r>
        <w:rPr>
          <w:rFonts w:hAnsi="Arial" w:hint="default"/>
          <w:i w:val="1"/>
          <w:iCs w:val="1"/>
          <w:sz w:val="22"/>
          <w:szCs w:val="22"/>
          <w:rtl w:val="0"/>
          <w:lang w:val="en-US"/>
        </w:rPr>
        <w:t>“</w:t>
      </w:r>
      <w:r>
        <w:rPr>
          <w:rFonts w:ascii="Arial"/>
          <w:i w:val="1"/>
          <w:iCs w:val="1"/>
          <w:sz w:val="22"/>
          <w:szCs w:val="22"/>
          <w:rtl w:val="0"/>
          <w:lang w:val="en-US"/>
        </w:rPr>
        <w:t>Every woman is entitled to the knowledge and understanding of her fertility and reproductive health.</w:t>
      </w:r>
      <w:r>
        <w:rPr>
          <w:rFonts w:hAnsi="Arial" w:hint="default"/>
          <w:i w:val="1"/>
          <w:iCs w:val="1"/>
          <w:sz w:val="22"/>
          <w:szCs w:val="22"/>
          <w:rtl w:val="0"/>
          <w:lang w:val="en-US"/>
        </w:rPr>
        <w:t xml:space="preserve">” – </w:t>
      </w:r>
      <w:r>
        <w:rPr>
          <w:rFonts w:ascii="Arial"/>
          <w:i w:val="1"/>
          <w:iCs w:val="1"/>
          <w:sz w:val="22"/>
          <w:szCs w:val="22"/>
          <w:rtl w:val="0"/>
        </w:rPr>
        <w:t>Dr. Evelyn</w:t>
      </w:r>
      <w:r>
        <w:rPr>
          <w:rFonts w:hAnsi="Arial" w:hint="default"/>
          <w:i w:val="1"/>
          <w:iCs w:val="1"/>
          <w:sz w:val="22"/>
          <w:szCs w:val="22"/>
          <w:rtl w:val="0"/>
          <w:lang w:val="en-US"/>
        </w:rPr>
        <w:t> </w:t>
      </w:r>
      <w:r>
        <w:rPr>
          <w:rFonts w:ascii="Arial"/>
          <w:i w:val="1"/>
          <w:iCs w:val="1"/>
          <w:sz w:val="22"/>
          <w:szCs w:val="22"/>
          <w:rtl w:val="0"/>
        </w:rPr>
        <w:t>Billings</w:t>
      </w:r>
    </w:p>
    <w:p>
      <w:pPr>
        <w:pStyle w:val="Body"/>
        <w:rPr>
          <w:rFonts w:ascii="Arial" w:cs="Arial" w:hAnsi="Arial" w:eastAsia="Arial"/>
          <w:sz w:val="22"/>
          <w:szCs w:val="22"/>
        </w:rPr>
      </w:pPr>
    </w:p>
    <w:p>
      <w:pPr>
        <w:pStyle w:val="Body"/>
        <w:outlineLvl w:val="0"/>
        <w:rPr>
          <w:rFonts w:ascii="Arial" w:cs="Arial" w:hAnsi="Arial" w:eastAsia="Arial"/>
          <w:b w:val="1"/>
          <w:bCs w:val="1"/>
          <w:sz w:val="22"/>
          <w:szCs w:val="22"/>
        </w:rPr>
      </w:pPr>
      <w:r>
        <w:rPr>
          <w:rFonts w:ascii="Arial"/>
          <w:b w:val="1"/>
          <w:bCs w:val="1"/>
          <w:sz w:val="22"/>
          <w:szCs w:val="22"/>
          <w:rtl w:val="0"/>
          <w:lang w:val="en-US"/>
        </w:rPr>
        <w:t>Natural Family Planning Association (Alberta)</w:t>
      </w:r>
    </w:p>
    <w:p>
      <w:pPr>
        <w:pStyle w:val="Body"/>
        <w:rPr>
          <w:rFonts w:ascii="Arial" w:cs="Arial" w:hAnsi="Arial" w:eastAsia="Arial"/>
          <w:sz w:val="22"/>
          <w:szCs w:val="22"/>
        </w:rPr>
      </w:pPr>
      <w:r>
        <w:rPr>
          <w:rFonts w:ascii="Arial"/>
          <w:sz w:val="22"/>
          <w:szCs w:val="22"/>
          <w:rtl w:val="0"/>
          <w:lang w:val="en-US"/>
        </w:rPr>
        <w:t>3301 63 Avenue Close, Lloydminster, AB T2V 2V9</w:t>
      </w:r>
    </w:p>
    <w:p>
      <w:pPr>
        <w:pStyle w:val="Body"/>
      </w:pPr>
      <w:hyperlink r:id="rId6" w:history="1">
        <w:r>
          <w:rPr>
            <w:rStyle w:val="Hyperlink.1"/>
            <w:rFonts w:ascii="Arial"/>
            <w:sz w:val="22"/>
            <w:szCs w:val="22"/>
            <w:u w:val="none"/>
            <w:rtl w:val="0"/>
          </w:rPr>
          <w:t>info@billingslife.ca</w:t>
        </w:r>
      </w:hyperlink>
      <w:r>
        <w:rPr>
          <w:rFonts w:ascii="Arial" w:cs="Arial" w:hAnsi="Arial" w:eastAsia="Arial"/>
          <w:sz w:val="22"/>
          <w:szCs w:val="22"/>
          <w:rtl w:val="0"/>
          <w:lang w:val="de-DE"/>
        </w:rPr>
        <w:tab/>
        <w:tab/>
        <w:tab/>
        <w:tab/>
        <w:tab/>
        <w:tab/>
        <w:t>*Charitable Reg. No. 11905 2355 RR0001</w:t>
      </w:r>
    </w:p>
    <w:sectPr>
      <w:headerReference w:type="default" r:id="rId7"/>
      <w:footerReference w:type="default" r:id="rId8"/>
      <w:pgSz w:w="12240" w:h="15840" w:orient="portrait"/>
      <w:pgMar w:top="709" w:right="1041" w:bottom="709" w:left="851"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 w:name="Baskerville">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mbria" w:cs="Cambria" w:hAnsi="Cambria" w:eastAsia="Cambria"/>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character" w:styleId="Hyperlink.0">
    <w:name w:val="Hyperlink.0"/>
    <w:basedOn w:val="Hyperlink"/>
    <w:next w:val="Hyperlink.0"/>
    <w:rPr>
      <w:color w:val="0000ff"/>
      <w:u w:val="single" w:color="0000ff"/>
    </w:rPr>
  </w:style>
  <w:style w:type="character" w:styleId="Hyperlink.1">
    <w:name w:val="Hyperlink.1"/>
    <w:basedOn w:val="Hyperlink.0"/>
    <w:next w:val="Hyperlink.1"/>
    <w:rPr>
      <w:u w:val="no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yperlink" Target="https://billingslife.ca/get-involved/donate" TargetMode="External"/><Relationship Id="rId6" Type="http://schemas.openxmlformats.org/officeDocument/2006/relationships/hyperlink" Target="mailto:info@billingslife.ca"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